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00" w:rsidRDefault="009849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fc"/>
        <w:tblW w:w="3910" w:type="dxa"/>
        <w:tblInd w:w="5670" w:type="dxa"/>
        <w:tblLayout w:type="fixed"/>
        <w:tblLook w:val="0400" w:firstRow="0" w:lastRow="0" w:firstColumn="0" w:lastColumn="0" w:noHBand="0" w:noVBand="1"/>
      </w:tblPr>
      <w:tblGrid>
        <w:gridCol w:w="3910"/>
      </w:tblGrid>
      <w:tr w:rsidR="00984900">
        <w:tc>
          <w:tcPr>
            <w:tcW w:w="3910" w:type="dxa"/>
          </w:tcPr>
          <w:p w:rsidR="00984900" w:rsidRDefault="002748F3">
            <w:pPr>
              <w:spacing w:before="150"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  <w:r>
              <w:rPr>
                <w:sz w:val="28"/>
                <w:szCs w:val="28"/>
              </w:rPr>
              <w:br/>
              <w:t>Наказ Міністерства розвитку громад та територій України</w:t>
            </w:r>
            <w:r>
              <w:rPr>
                <w:sz w:val="28"/>
                <w:szCs w:val="28"/>
              </w:rPr>
              <w:br/>
              <w:t xml:space="preserve">29 листопада 2022 року № 228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984900" w:rsidRDefault="00984900"/>
    <w:p w:rsidR="00984900" w:rsidRDefault="002748F3">
      <w:pPr>
        <w:spacing w:line="240" w:lineRule="auto"/>
        <w:jc w:val="center"/>
      </w:pP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br/>
        <w:t>відбору Кінцевих Бенефіціарів Проекту «Енергоефективність громадських будівель в Україні»</w:t>
      </w:r>
    </w:p>
    <w:p w:rsidR="00984900" w:rsidRDefault="00984900">
      <w:pPr>
        <w:spacing w:line="240" w:lineRule="auto"/>
        <w:jc w:val="center"/>
      </w:pP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Цей Порядок регулює механізм визначення Кінцевих Бенефіціарів Субпроектів, які можуть реалізовуватися за рахунок коштів Проекту «Енергоефективність громадських будівель в Україні» (далі – Програма), що фінансуються відповідно до Фінансової угоди (Проект</w:t>
      </w:r>
      <w:r>
        <w:rPr>
          <w:b w:val="0"/>
          <w:sz w:val="28"/>
          <w:szCs w:val="28"/>
        </w:rPr>
        <w:t xml:space="preserve"> «Енергоефективність громадських будівель в Україні») між Україною та Європейським інвестиційним банком, ратифікованої Законом України від </w:t>
      </w:r>
      <w:r>
        <w:rPr>
          <w:b w:val="0"/>
          <w:sz w:val="28"/>
          <w:szCs w:val="28"/>
        </w:rPr>
        <w:br/>
        <w:t>15 липня 2021 року № 1663-IX «Про ратифікацію Фінансової угоди (Проект «Енергоефективність громадських будівель в Ук</w:t>
      </w:r>
      <w:r>
        <w:rPr>
          <w:b w:val="0"/>
          <w:sz w:val="28"/>
          <w:szCs w:val="28"/>
        </w:rPr>
        <w:t>раїні») між Україною та Європейським інвестиційним банком» (далі – Фінансова угода).</w:t>
      </w: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цьому Порядку терміни вживаються у значенні, наведеному в Законах України «Про енергетичну ефективність будівель», «Про енергетичну ефективність», інших нормативно-право</w:t>
      </w:r>
      <w:r>
        <w:rPr>
          <w:b w:val="0"/>
          <w:sz w:val="28"/>
          <w:szCs w:val="28"/>
        </w:rPr>
        <w:t>вих актів.</w:t>
      </w:r>
    </w:p>
    <w:p w:rsidR="00984900" w:rsidRDefault="00984900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Реалізацію Програми, а також управління та контроль за її реалізацією здійснює Міністерство розвитку громад та територій України через утворену ним Групу управління і підтримки Програми (далі – ГУПП), яка сформована з представників Мінрегіон</w:t>
      </w:r>
      <w:r>
        <w:rPr>
          <w:b w:val="0"/>
          <w:sz w:val="28"/>
          <w:szCs w:val="28"/>
        </w:rPr>
        <w:t>у. ГУПП залучає команду консультантів з підтримки реалізації Програми, представників Європейського інвестиційного банку та інших заінтересованих осіб під час своєї діяльності (за згодою).</w:t>
      </w:r>
    </w:p>
    <w:p w:rsidR="00984900" w:rsidRDefault="00984900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Відповідно до Фінансової угоди кошти позики виділяються на викон</w:t>
      </w:r>
      <w:r>
        <w:rPr>
          <w:b w:val="0"/>
          <w:sz w:val="28"/>
          <w:szCs w:val="28"/>
        </w:rPr>
        <w:t xml:space="preserve">ання Субпроектів з капітального ремонту, реконструкції громадських будівель, що мають на меті підвищення рівня їхньої енергетичної ефективності (далі – проекти термомодернізації), відповідають цьому Порядку та критеріям відповідності, зазначеним у додатку </w:t>
      </w:r>
      <w:r>
        <w:rPr>
          <w:b w:val="0"/>
          <w:sz w:val="28"/>
          <w:szCs w:val="28"/>
        </w:rPr>
        <w:t>А.1 Фінансової угоди.</w:t>
      </w: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додаток до проектів термомодернізації, Програма передбачає, у тому числі, фінансування будівельних робіт (включаючи роботи з ремонту </w:t>
      </w:r>
      <w:r>
        <w:rPr>
          <w:b w:val="0"/>
          <w:sz w:val="28"/>
          <w:szCs w:val="28"/>
        </w:rPr>
        <w:lastRenderedPageBreak/>
        <w:t>пошкоджень, отриманих внаслідок військової агресії Російської Федерації) у громадських будівлях, у</w:t>
      </w:r>
      <w:r>
        <w:rPr>
          <w:b w:val="0"/>
          <w:sz w:val="28"/>
          <w:szCs w:val="28"/>
        </w:rPr>
        <w:t xml:space="preserve"> тому числі, з метою забезпечення відповідності потребам внутрішньо переміщених осіб (далі – ВПО) та приймаючих їх територіальних громад. 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Програма реалізується на умовах співфінансування. За рахунок місцевого бюджету сплачується податок на додану вартість та компенсуються інші необхідні витрати, які не покриваються коштами позики, а також, за потреби,  витрати потенційних Кінцевих Бенефіціар</w:t>
      </w:r>
      <w:r>
        <w:rPr>
          <w:sz w:val="28"/>
          <w:szCs w:val="28"/>
        </w:rPr>
        <w:t>ів на виготовлення та проведення експертизи проектної документації, проведення енергетичного аудиту будівель та виготовлення енергетичного сертифіката.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Фінансовою угодою, кошти надаватимуться у вигляді позики кожному Кінцевому Бенефіціару відповід</w:t>
      </w:r>
      <w:r>
        <w:rPr>
          <w:sz w:val="28"/>
          <w:szCs w:val="28"/>
        </w:rPr>
        <w:t>но до договору позики (кредитного договору), укладеного між Міністерством фінансів України, Мінрегіоном та Кінцевими Бенефіціарами.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Участь у Програмі відповідно до цього Порядку можуть брати органи місцевого самоврядування.</w:t>
      </w:r>
    </w:p>
    <w:p w:rsidR="00984900" w:rsidRDefault="00984900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ГУПП спільно з командою </w:t>
      </w:r>
      <w:r>
        <w:rPr>
          <w:b w:val="0"/>
          <w:sz w:val="28"/>
          <w:szCs w:val="28"/>
        </w:rPr>
        <w:t>консультантів з підтримки реалізації Програми здійснює відбір Кінцевих Бенефіціарів (далі – відбір).</w:t>
      </w: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проведення відбору Мінрегіон на своєму офіційному вебсайті оприлюднює оголошення про проведення відбору Кінцевих Бенефіціарів (далі – Оголошення).</w:t>
      </w: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Ог</w:t>
      </w:r>
      <w:r>
        <w:rPr>
          <w:b w:val="0"/>
          <w:sz w:val="28"/>
          <w:szCs w:val="28"/>
        </w:rPr>
        <w:t>олошенні зазначаються: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загальний опис Програми, її умови; 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Критерії прийнятності Кінцевих Бенефіціарів та Критерії оцінки проектів термомодернізації, наведені у додатку 1 до цього Порядку;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 подання документів для участі у відборі; 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адреси електронної </w:t>
      </w:r>
      <w:r>
        <w:rPr>
          <w:sz w:val="28"/>
          <w:szCs w:val="28"/>
        </w:rPr>
        <w:t>пошти, номери телефонів, інших контактних даних, за якими можна отримати додаткові роз’яснення щодо участі у відборі.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ГУПП вживає заходів щодо поширення інформації про початок проведення відбору Кінцевих Бенефіціарів, у тому числі за допомогою офіційни</w:t>
      </w:r>
      <w:r>
        <w:rPr>
          <w:b w:val="0"/>
          <w:sz w:val="28"/>
          <w:szCs w:val="28"/>
        </w:rPr>
        <w:t xml:space="preserve">х сторінок Мінрегіону у соціальних мережах. </w:t>
      </w:r>
    </w:p>
    <w:p w:rsidR="00984900" w:rsidRDefault="00984900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Потенційний Кінцевий Бенефіціар для участі у відборі подає до ГУПП:</w:t>
      </w:r>
    </w:p>
    <w:p w:rsidR="00984900" w:rsidRDefault="002748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заповнену Анкету на участь у Проекті «Енергоефективність громадських будівель в Україні» за формою, наведеною у додатку 2 до цього Поряд</w:t>
      </w:r>
      <w:r>
        <w:rPr>
          <w:sz w:val="28"/>
          <w:szCs w:val="28"/>
        </w:rPr>
        <w:t>ку;</w:t>
      </w:r>
    </w:p>
    <w:p w:rsidR="00984900" w:rsidRDefault="002748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зведену інформацію про проекти термомодернізації, які пропонується для реалізації, за формою, наведеною у додатку 3 до цього Порядку;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завірену в установленому законодавством порядку копію рішення сільської, селищної, міської, районної, обласної р</w:t>
      </w:r>
      <w:r>
        <w:rPr>
          <w:sz w:val="28"/>
          <w:szCs w:val="28"/>
        </w:rPr>
        <w:t xml:space="preserve">ади про намір отримати позику за Програмою, яке повинно містити: мету запозичення, </w:t>
      </w:r>
      <w:bookmarkStart w:id="1" w:name="bookmark=id.30j0zll" w:colFirst="0" w:colLast="0"/>
      <w:bookmarkEnd w:id="1"/>
      <w:r>
        <w:rPr>
          <w:sz w:val="28"/>
          <w:szCs w:val="28"/>
        </w:rPr>
        <w:t>форму здійснення запозичення,</w:t>
      </w:r>
      <w:bookmarkStart w:id="2" w:name="bookmark=id.1fob9te" w:colFirst="0" w:colLast="0"/>
      <w:bookmarkEnd w:id="2"/>
      <w:r>
        <w:rPr>
          <w:sz w:val="28"/>
          <w:szCs w:val="28"/>
        </w:rPr>
        <w:t xml:space="preserve"> істотні умови запозичення – вид, розмір, валюта, строк, відсотки за користування запозиченням та строки їх сплати, а також розмір основної суми</w:t>
      </w:r>
      <w:r>
        <w:rPr>
          <w:sz w:val="28"/>
          <w:szCs w:val="28"/>
        </w:rPr>
        <w:t xml:space="preserve"> боргу</w:t>
      </w:r>
      <w:bookmarkStart w:id="3" w:name="bookmark=id.3znysh7" w:colFirst="0" w:colLast="0"/>
      <w:bookmarkEnd w:id="3"/>
      <w:r>
        <w:rPr>
          <w:sz w:val="28"/>
          <w:szCs w:val="28"/>
        </w:rPr>
        <w:t>, майнове або інше забезпечення виконання зобов’язань за запозиченням;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звіт з енергетичного аудиту будівель та/або енергетичний сертифікат, виготовлені відповідно до  законодавства України;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звіт за результатами обстеження, складений відповідно до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 257, Методики проведення обстеження та оф</w:t>
      </w:r>
      <w:r>
        <w:rPr>
          <w:sz w:val="28"/>
          <w:szCs w:val="28"/>
        </w:rPr>
        <w:t>ормлення його результатів, затвердженої наказом Міністерства розвитку громад та територій України від 06 серпня 2022 року № 144 та зареєстрованої в Міністерстві юстиції України 09 серпня 2022 року за № 898/38234;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документи, зазначені у пункті 6 Порядку </w:t>
      </w:r>
      <w:r>
        <w:rPr>
          <w:sz w:val="28"/>
          <w:szCs w:val="28"/>
        </w:rPr>
        <w:t xml:space="preserve">здійснення місцевих запозичень, затвердженого постановою Кабінету Міністрів України </w:t>
      </w:r>
      <w:r>
        <w:rPr>
          <w:sz w:val="28"/>
          <w:szCs w:val="28"/>
        </w:rPr>
        <w:br/>
        <w:t>від 16 лютого 2011 року № 110;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4" w:name="_heading=h.2et92p0" w:colFirst="0" w:colLast="0"/>
      <w:bookmarkEnd w:id="4"/>
      <w:r>
        <w:rPr>
          <w:sz w:val="28"/>
          <w:szCs w:val="28"/>
        </w:rPr>
        <w:t>7) проектну документацію на проекти термомодернізації, затверджену відповідно до законодавства України (у разі готовності такої документації</w:t>
      </w:r>
      <w:r>
        <w:rPr>
          <w:sz w:val="28"/>
          <w:szCs w:val="28"/>
        </w:rPr>
        <w:t xml:space="preserve"> на дату подання заявки);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гарантійний лист із інформацією, зазначеною у підпунктах 4.1 – 4.3 пункту 4, підпункті 4.6 пункту 4, підпункті 6.2 пункту 6 Критеріїв прийнятності Кінцевих Бенефіціарів (додаток 1);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інформацію в довільній формі, зазначену у </w:t>
      </w:r>
      <w:r>
        <w:rPr>
          <w:sz w:val="28"/>
          <w:szCs w:val="28"/>
        </w:rPr>
        <w:t>підпунктах 2.3 – 2.6 пункту 2, підпункті 3.2 пункту 3, підпунктах 4.4, 4,5 пункту 4, підпунктах 5.1, 5.2 пункту 5, підпункті 6.1 пункту 6, підпункті 7.1 пункту 7 Критеріїв прийнятності Кінцевих Бенефіціарів (додаток 1);</w:t>
      </w:r>
    </w:p>
    <w:p w:rsidR="00984900" w:rsidRDefault="0098490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Документи, подані потенційним Кі</w:t>
      </w:r>
      <w:r>
        <w:rPr>
          <w:sz w:val="28"/>
          <w:szCs w:val="28"/>
        </w:rPr>
        <w:t>нцевим Бенефіціаром для участі у відборі, відхиляються ГУПП у разі: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подання не органом місцевого самоврядування;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якщо проект термомодернізації не передбачає досягнення будівлею Мінімальних вимог до енергетичної ефективності будівель, затверджених нак</w:t>
      </w:r>
      <w:r>
        <w:rPr>
          <w:sz w:val="28"/>
          <w:szCs w:val="28"/>
        </w:rPr>
        <w:t xml:space="preserve">азом Міністерства розвитку громад та територій України від 27 жовтня 2020 року № 260, зареєстрованих в Міністерстві юстиції України 18 грудня 2020 року </w:t>
      </w:r>
      <w:r>
        <w:rPr>
          <w:sz w:val="28"/>
          <w:szCs w:val="28"/>
        </w:rPr>
        <w:lastRenderedPageBreak/>
        <w:t>за № 1257/35540, та встановлених статтею 4 Директиви про енергетичну ефективність будівель № 2010/31/ЄС;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календарний план реалізації проекту термомодернізації становить менше одного року та більше трьох років;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 передбачається співфінансування проекту термомодернізації з місцевого бюджету (зокрема, в частині сплати податку на додану вартість та компен</w:t>
      </w:r>
      <w:r>
        <w:rPr>
          <w:sz w:val="28"/>
          <w:szCs w:val="28"/>
        </w:rPr>
        <w:t>сації інших необхідних витрат, що не покриваються коштами позики);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надходження після закінчення встановленого в Оголошенні строку;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подання документів, оформлених неналежним чином, не в повному обсязі, а також таких, що містять недостовірну інформацію;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потенційний Кінцевий Бенефіціар розташований в одному з районів, визначеному Мінреінтеграції у переліку територіальних громад, як</w:t>
      </w:r>
      <w:r>
        <w:rPr>
          <w:sz w:val="28"/>
          <w:szCs w:val="28"/>
        </w:rPr>
        <w:t xml:space="preserve">і розташовані в районі проведення воєнних (бойових) дій або які перебувають в тимчасовій окупації, оточенні (блокуванні). 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 разі відхилення ГУПП документів, поданих потенційним Кінцевим Бенефіціаром, такий Кінцевий Бенефіціар має право повторно подати</w:t>
      </w:r>
      <w:r>
        <w:rPr>
          <w:sz w:val="28"/>
          <w:szCs w:val="28"/>
        </w:rPr>
        <w:t xml:space="preserve"> документи, зазначені у пункті 7 цього Порядку, після усунення причин, з яких такі документи було відхилено.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 процесі підготовки своїх заявок на участь у відборі потенційні Кінцеві Бенефіціари можуть надсилати запити до ГУПП та команди консультантів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 підтримки реалізації Програми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надання роз’яснення. 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Запити щодо надання роз'яснення потенційні Кінцеві Бенефіціари можуть надсилати на адресу електронної пошти, зазначену в Оголошенні. Відповіді на запити надаються на електронну пошту відповідних по</w:t>
      </w:r>
      <w:r>
        <w:rPr>
          <w:sz w:val="28"/>
          <w:szCs w:val="28"/>
        </w:rPr>
        <w:t>тенційних Кінцевих Бенефіціарів, а також публікуються на офіційному вебсайті Мінрегіону (без зазначення джерела запитання).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Після закінчення строку подання заявок на участь у відборі ГУПП спільно з командою консультантів з підтримки реалізації Програм</w:t>
      </w:r>
      <w:r>
        <w:rPr>
          <w:sz w:val="28"/>
          <w:szCs w:val="28"/>
        </w:rPr>
        <w:t>и розглядає отримані заявки не більше 60 днів та оцінює кожен проект термомодернізації відповідно до Критеріїв оцінки проектів термомодернізації, визначених додатком 1 до цього Порядку, а також подані документи щодо наявності підстав для їх відхилення, пер</w:t>
      </w:r>
      <w:r>
        <w:rPr>
          <w:sz w:val="28"/>
          <w:szCs w:val="28"/>
        </w:rPr>
        <w:t>едбачених пунктом 8 цього Порядку.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 результатами розгляду документів та оцінки проектів термомодернізації ГУПП: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протокольно формує перелік потенційних Кінцевих Бенефіціарів та їх проектів термомодернізації, щодо яких наявна затверджена проектна документація, та забезпечує його оприлюднення на офіційному вебсайті Мінрегіону. Перелік таких потенційних Кінцевих Бене</w:t>
      </w:r>
      <w:r>
        <w:rPr>
          <w:sz w:val="28"/>
          <w:szCs w:val="28"/>
        </w:rPr>
        <w:t xml:space="preserve">фіціарів та копії їх документів, передбачені пунктом 7 цього Порядку, направляються до </w:t>
      </w:r>
      <w:r>
        <w:rPr>
          <w:sz w:val="28"/>
          <w:szCs w:val="28"/>
        </w:rPr>
        <w:lastRenderedPageBreak/>
        <w:t>Міністерства фінансів України для проведення оцінки фінансового стану потенційного Кінцевого Бенефіціара;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протокольно формує перелік попередньо відібраних потенційних</w:t>
      </w:r>
      <w:r>
        <w:rPr>
          <w:sz w:val="28"/>
          <w:szCs w:val="28"/>
        </w:rPr>
        <w:t xml:space="preserve"> Кінцевих Бенефіціарів та їх проектів термомодернізації, щодо яких немає проектної документації (при необхідності її розроблення відповідно до вимог законодавства), та забезпечує його оприлюднення на офіційному вебсайті Мінрегіону. Такі попередньо відібран</w:t>
      </w:r>
      <w:r>
        <w:rPr>
          <w:sz w:val="28"/>
          <w:szCs w:val="28"/>
        </w:rPr>
        <w:t>і потенційні Кінцеві Бенефіціари розробляють проектну документацію проекту термомодернізації.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Після розроблення та затвердження проектної документації потенційні Кінцеві Бенефіціари направляють її на розгляд ГУПП. ГУПП проводить оцінку проекту термомодерні</w:t>
      </w:r>
      <w:r>
        <w:rPr>
          <w:sz w:val="28"/>
          <w:szCs w:val="28"/>
        </w:rPr>
        <w:t>зації та, у разі відсутності підстав для відхилення, передбачених пунктом 8 цього Порядку, направляє інформацію про потенційних Кінцевих Бенефіціарів та копії документів, передбачені пунктом 7 цього Порядку, для проведення Міністерством фінансів України оц</w:t>
      </w:r>
      <w:r>
        <w:rPr>
          <w:sz w:val="28"/>
          <w:szCs w:val="28"/>
        </w:rPr>
        <w:t>інки фінансового стану потенційного Кінцевих Бенефіціарів.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Міністерство фінансів України проводить оцінку фінансового стану потенційних Кінцевих Бенефіціарів відповідно до Порядку проведення оцінки фінансового стану потенційного бенефіціара інвестицій</w:t>
      </w:r>
      <w:r>
        <w:rPr>
          <w:color w:val="000000"/>
          <w:sz w:val="28"/>
          <w:szCs w:val="28"/>
        </w:rPr>
        <w:t>ного проекту, реалізація якого передбачається на умовах фінансової самоокупності, а також визначення виду забезпечення для обслуговування та погашення позики, наданої за рахунок коштів міжнародних фінансових організацій, обслуговування якої здійснюватиметь</w:t>
      </w:r>
      <w:r>
        <w:rPr>
          <w:color w:val="000000"/>
          <w:sz w:val="28"/>
          <w:szCs w:val="28"/>
        </w:rPr>
        <w:t>ся за рахунок коштів бенефіціара, затвердженого наказом Міністерства фінансів України від 14 липня 2016 року № 616, зареєстрованого в Міністерстві юстиції України 05 серпня 2016 року за № 1095/29225, та інформує потенційного Кінцевого Бенефіціара та Мінрег</w:t>
      </w:r>
      <w:r>
        <w:rPr>
          <w:color w:val="000000"/>
          <w:sz w:val="28"/>
          <w:szCs w:val="28"/>
        </w:rPr>
        <w:t xml:space="preserve">іон про результати такої оцінки. </w:t>
      </w:r>
    </w:p>
    <w:p w:rsidR="00984900" w:rsidRDefault="0098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Після проведення Міністерством фінансів України оцінки фінансового стану потенційних Кінцевих Бенефіціарів ГУПП протокольно формує список відібраних Кінцевих Бенефіціарів.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відібраних Кінцевих Бенефіціарів затве</w:t>
      </w:r>
      <w:r>
        <w:rPr>
          <w:sz w:val="28"/>
          <w:szCs w:val="28"/>
        </w:rPr>
        <w:t>рджується наказом Мінрегіону.</w:t>
      </w: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відібраних Кінцевих Бенефіціарів із проектами термомодернізації (разом із затвердженою проектною документацією) публікується на офіційному вебсайті Мінрегіону.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84900" w:rsidRDefault="00274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Потенційні Кінцеві Бенефіціари, яким Міністерс</w:t>
      </w:r>
      <w:r>
        <w:rPr>
          <w:color w:val="000000"/>
          <w:sz w:val="28"/>
          <w:szCs w:val="28"/>
        </w:rPr>
        <w:t>твом фінансів України надано висновок щодо оцінки фінансового стану потенційного Кінцевого Бенефіціара та рівня фінансової самоокупності проектів, укладають договір позики (кредитний договір) з Міністерством фінансів України та Мінрегіоном.</w:t>
      </w:r>
    </w:p>
    <w:p w:rsidR="00984900" w:rsidRDefault="002748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Договір позики </w:t>
      </w:r>
      <w:r>
        <w:rPr>
          <w:color w:val="000000"/>
          <w:sz w:val="28"/>
          <w:szCs w:val="28"/>
        </w:rPr>
        <w:t>(кредитний договір) не укладається, якщо Міністерством фінансів України надано висновок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про фінансову неспроможність потенційного </w:t>
      </w:r>
      <w:r>
        <w:rPr>
          <w:color w:val="000000"/>
          <w:sz w:val="28"/>
          <w:szCs w:val="28"/>
        </w:rPr>
        <w:lastRenderedPageBreak/>
        <w:t>Кінцевого Бенефіціара, а також якщо потенційний Кінцевий Бенефіціар розташований в одному з районів, визначеному Мінреінтеграц</w:t>
      </w:r>
      <w:r>
        <w:rPr>
          <w:color w:val="000000"/>
          <w:sz w:val="28"/>
          <w:szCs w:val="28"/>
        </w:rPr>
        <w:t>ії у переліку територіальних громад, які розташовані в районі проведення воєнних (бойових) дій або які перебувають в тимчасовій окупації, оточенні (блокуванні).</w:t>
      </w:r>
    </w:p>
    <w:p w:rsidR="00984900" w:rsidRDefault="00984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984900" w:rsidRDefault="00274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Закупівля товарів, робіт і послуг, необхідних для реалізації проектів термомодернізації, в</w:t>
      </w:r>
      <w:r>
        <w:rPr>
          <w:sz w:val="28"/>
          <w:szCs w:val="28"/>
        </w:rPr>
        <w:t>ідібраних згідно з цим Порядком, здійснюватиметься відповідно Закону України «Про публічні закупівлі» та пункту 6.4 статті 6 Фінансової угоди.</w:t>
      </w:r>
    </w:p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f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61"/>
        <w:gridCol w:w="4735"/>
      </w:tblGrid>
      <w:tr w:rsidR="00984900">
        <w:tc>
          <w:tcPr>
            <w:tcW w:w="4761" w:type="dxa"/>
          </w:tcPr>
          <w:p w:rsidR="00984900" w:rsidRDefault="00274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Генеральний директор</w:t>
            </w:r>
          </w:p>
          <w:p w:rsidR="00984900" w:rsidRDefault="00274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Директорату енергоефективності</w:t>
            </w:r>
          </w:p>
        </w:tc>
        <w:tc>
          <w:tcPr>
            <w:tcW w:w="4735" w:type="dxa"/>
          </w:tcPr>
          <w:p w:rsidR="00984900" w:rsidRDefault="00274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Дмитро ПЕТРУНІН</w:t>
            </w:r>
          </w:p>
        </w:tc>
      </w:tr>
    </w:tbl>
    <w:p w:rsidR="00984900" w:rsidRDefault="00984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4472C4"/>
          <w:sz w:val="28"/>
          <w:szCs w:val="28"/>
        </w:rPr>
      </w:pPr>
    </w:p>
    <w:sectPr w:rsidR="00984900">
      <w:headerReference w:type="default" r:id="rId7"/>
      <w:pgSz w:w="11906" w:h="16838"/>
      <w:pgMar w:top="1135" w:right="850" w:bottom="1276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F3" w:rsidRDefault="002748F3">
      <w:pPr>
        <w:spacing w:after="0" w:line="240" w:lineRule="auto"/>
      </w:pPr>
      <w:r>
        <w:separator/>
      </w:r>
    </w:p>
  </w:endnote>
  <w:endnote w:type="continuationSeparator" w:id="0">
    <w:p w:rsidR="002748F3" w:rsidRDefault="0027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F3" w:rsidRDefault="002748F3">
      <w:pPr>
        <w:spacing w:after="0" w:line="240" w:lineRule="auto"/>
      </w:pPr>
      <w:r>
        <w:separator/>
      </w:r>
    </w:p>
  </w:footnote>
  <w:footnote w:type="continuationSeparator" w:id="0">
    <w:p w:rsidR="002748F3" w:rsidRDefault="0027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00" w:rsidRDefault="002748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0126C">
      <w:rPr>
        <w:color w:val="000000"/>
      </w:rPr>
      <w:fldChar w:fldCharType="separate"/>
    </w:r>
    <w:r w:rsidR="0080126C">
      <w:rPr>
        <w:noProof/>
        <w:color w:val="000000"/>
      </w:rPr>
      <w:t>2</w:t>
    </w:r>
    <w:r>
      <w:rPr>
        <w:color w:val="000000"/>
      </w:rPr>
      <w:fldChar w:fldCharType="end"/>
    </w:r>
  </w:p>
  <w:p w:rsidR="00984900" w:rsidRDefault="009849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00"/>
    <w:rsid w:val="002748F3"/>
    <w:rsid w:val="0080126C"/>
    <w:rsid w:val="009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3755B-6123-40D4-9D41-00FDCDAD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BA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14">
    <w:name w:val="rvps14"/>
    <w:basedOn w:val="a"/>
    <w:rsid w:val="000F6FA0"/>
    <w:pPr>
      <w:spacing w:before="100" w:beforeAutospacing="1" w:after="100" w:afterAutospacing="1" w:line="240" w:lineRule="auto"/>
    </w:pPr>
  </w:style>
  <w:style w:type="character" w:customStyle="1" w:styleId="rvts9">
    <w:name w:val="rvts9"/>
    <w:basedOn w:val="a0"/>
    <w:rsid w:val="000F6FA0"/>
  </w:style>
  <w:style w:type="paragraph" w:styleId="a4">
    <w:name w:val="List Paragraph"/>
    <w:aliases w:val="Llista Nivell1,Lista de nivel 1,Paragraphe de liste PBLH,Bullet Points,Liste Paragraf,Colorful List - Accent 11,Table of contents numbered,Bullet OFM,Renkli Liste - Vurgu 11,Liste Paragraf1,List Paragraph in table,References,1 Текст,Ha"/>
    <w:basedOn w:val="a"/>
    <w:link w:val="a5"/>
    <w:uiPriority w:val="34"/>
    <w:qFormat/>
    <w:rsid w:val="00967E40"/>
    <w:pPr>
      <w:ind w:left="720"/>
      <w:contextualSpacing/>
    </w:pPr>
    <w:rPr>
      <w:rFonts w:asciiTheme="minorHAnsi" w:hAnsiTheme="minorHAnsi" w:cstheme="minorBidi"/>
      <w:sz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0BAE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rvts23">
    <w:name w:val="rvts23"/>
    <w:basedOn w:val="a0"/>
    <w:rsid w:val="00F77989"/>
  </w:style>
  <w:style w:type="character" w:styleId="a6">
    <w:name w:val="footnote reference"/>
    <w:aliases w:val="BVI fnr,16 Point,Superscript 6 Point,ftref,Footnote Reference Char Char Char,Carattere Char Carattere Carattere Char Carattere Char Carattere Char Char Char1 Char,Carattere Carattere Char Char Char Carattere Char"/>
    <w:basedOn w:val="a0"/>
    <w:uiPriority w:val="99"/>
    <w:unhideWhenUsed/>
    <w:rsid w:val="00F4681D"/>
    <w:rPr>
      <w:vertAlign w:val="superscript"/>
    </w:rPr>
  </w:style>
  <w:style w:type="paragraph" w:styleId="a7">
    <w:name w:val="footnote text"/>
    <w:aliases w:val="Fußnotentextf,Geneva 9,Font: Geneva 9,Boston 10,f,FOOTNOTES,fn,single space,footnote text,Footnote,Text,ft,Footnote Text Blue,Footnote Text Char Char Char,Footnote Text Char Char,Fußnote,Fußnotentextr,Fuﬂnotentextf,Char"/>
    <w:basedOn w:val="a"/>
    <w:link w:val="a8"/>
    <w:uiPriority w:val="99"/>
    <w:unhideWhenUsed/>
    <w:rsid w:val="00F4681D"/>
    <w:pPr>
      <w:spacing w:after="0" w:line="240" w:lineRule="auto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a8">
    <w:name w:val="Текст виноски Знак"/>
    <w:aliases w:val="Fußnotentextf Знак,Geneva 9 Знак,Font: Geneva 9 Знак,Boston 10 Знак,f Знак,FOOTNOTES Знак,fn Знак,single space Знак,footnote text Знак,Footnote Знак,Text Знак,ft Знак,Footnote Text Blue Знак,Footnote Text Char Char Char Знак,Char Знак"/>
    <w:basedOn w:val="a0"/>
    <w:link w:val="a7"/>
    <w:uiPriority w:val="99"/>
    <w:rsid w:val="00F4681D"/>
    <w:rPr>
      <w:rFonts w:asciiTheme="minorHAnsi" w:hAnsiTheme="minorHAnsi" w:cstheme="minorBidi"/>
      <w:sz w:val="20"/>
      <w:szCs w:val="20"/>
      <w:lang w:val="en-US"/>
    </w:rPr>
  </w:style>
  <w:style w:type="character" w:styleId="a9">
    <w:name w:val="annotation reference"/>
    <w:basedOn w:val="a0"/>
    <w:uiPriority w:val="99"/>
    <w:semiHidden/>
    <w:unhideWhenUsed/>
    <w:rsid w:val="00C96C3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96C3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C96C3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3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C96C3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9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6C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29E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f0">
    <w:name w:val="header"/>
    <w:basedOn w:val="a"/>
    <w:link w:val="af1"/>
    <w:uiPriority w:val="99"/>
    <w:unhideWhenUsed/>
    <w:rsid w:val="003247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32470B"/>
  </w:style>
  <w:style w:type="paragraph" w:styleId="af2">
    <w:name w:val="footer"/>
    <w:basedOn w:val="a"/>
    <w:link w:val="af3"/>
    <w:uiPriority w:val="99"/>
    <w:unhideWhenUsed/>
    <w:rsid w:val="003247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32470B"/>
  </w:style>
  <w:style w:type="paragraph" w:styleId="af4">
    <w:name w:val="Revision"/>
    <w:hidden/>
    <w:uiPriority w:val="99"/>
    <w:semiHidden/>
    <w:rsid w:val="009D3CCC"/>
    <w:pPr>
      <w:spacing w:after="0" w:line="240" w:lineRule="auto"/>
    </w:pPr>
  </w:style>
  <w:style w:type="table" w:styleId="af5">
    <w:name w:val="Table Grid"/>
    <w:basedOn w:val="a1"/>
    <w:uiPriority w:val="39"/>
    <w:rsid w:val="0063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085318"/>
    <w:pPr>
      <w:spacing w:before="100" w:beforeAutospacing="1" w:after="100" w:afterAutospacing="1" w:line="240" w:lineRule="auto"/>
    </w:pPr>
  </w:style>
  <w:style w:type="character" w:customStyle="1" w:styleId="a5">
    <w:name w:val="Абзац списку Знак"/>
    <w:aliases w:val="Llista Nivell1 Знак,Lista de nivel 1 Знак,Paragraphe de liste PBLH Знак,Bullet Points Знак,Liste Paragraf Знак,Colorful List - Accent 11 Знак,Table of contents numbered Знак,Bullet OFM Знак,Renkli Liste - Vurgu 11 Знак,References Знак"/>
    <w:basedOn w:val="a0"/>
    <w:link w:val="a4"/>
    <w:uiPriority w:val="34"/>
    <w:qFormat/>
    <w:rsid w:val="00A64DF6"/>
    <w:rPr>
      <w:rFonts w:asciiTheme="minorHAnsi" w:hAnsiTheme="minorHAnsi" w:cstheme="minorBidi"/>
      <w:sz w:val="22"/>
      <w:lang w:val="en-US"/>
    </w:rPr>
  </w:style>
  <w:style w:type="character" w:styleId="af7">
    <w:name w:val="Hyperlink"/>
    <w:uiPriority w:val="99"/>
    <w:rsid w:val="008C118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237551"/>
    <w:rPr>
      <w:color w:val="605E5C"/>
      <w:shd w:val="clear" w:color="auto" w:fill="E1DFDD"/>
    </w:rPr>
  </w:style>
  <w:style w:type="paragraph" w:customStyle="1" w:styleId="rvps2">
    <w:name w:val="rvps2"/>
    <w:basedOn w:val="a"/>
    <w:rsid w:val="00723A81"/>
    <w:pPr>
      <w:spacing w:before="100" w:beforeAutospacing="1" w:after="100" w:afterAutospacing="1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B1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B1BE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8">
    <w:name w:val="Emphasis"/>
    <w:basedOn w:val="a0"/>
    <w:uiPriority w:val="20"/>
    <w:qFormat/>
    <w:rsid w:val="00BB1BE7"/>
    <w:rPr>
      <w:i/>
      <w:iCs/>
    </w:rPr>
  </w:style>
  <w:style w:type="paragraph" w:styleId="af9">
    <w:name w:val="No Spacing"/>
    <w:uiPriority w:val="1"/>
    <w:qFormat/>
    <w:rsid w:val="002A5190"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sid w:val="00C957FC"/>
    <w:rPr>
      <w:color w:val="954F72" w:themeColor="followedHyperlink"/>
      <w:u w:val="single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fawpJL/HbmJOKStsYNUpX1fWlw==">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7657</Words>
  <Characters>4365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Лисий Іван Миколайович</dc:creator>
  <cp:lastModifiedBy>Олейнікова Вікторія Анатоліївна</cp:lastModifiedBy>
  <cp:revision>2</cp:revision>
  <dcterms:created xsi:type="dcterms:W3CDTF">2023-03-29T11:55:00Z</dcterms:created>
  <dcterms:modified xsi:type="dcterms:W3CDTF">2023-03-29T11:55:00Z</dcterms:modified>
</cp:coreProperties>
</file>